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59BD" w14:textId="77777777" w:rsidR="00AE2A71" w:rsidRDefault="00AE2A71" w:rsidP="009763D4">
      <w:pPr>
        <w:pStyle w:val="Listepuces2"/>
        <w:numPr>
          <w:ilvl w:val="0"/>
          <w:numId w:val="0"/>
        </w:numPr>
        <w:rPr>
          <w:lang w:eastAsia="ja-JP"/>
        </w:rPr>
      </w:pPr>
    </w:p>
    <w:p w14:paraId="703975CF" w14:textId="77777777" w:rsidR="00251FAC" w:rsidRPr="00251FAC" w:rsidRDefault="00251FAC" w:rsidP="00251FAC">
      <w:pPr>
        <w:spacing w:before="240" w:after="120"/>
        <w:jc w:val="center"/>
        <w:rPr>
          <w:b/>
          <w:sz w:val="36"/>
          <w:lang w:eastAsia="ja-JP"/>
        </w:rPr>
      </w:pPr>
      <w:r w:rsidRPr="00251FAC">
        <w:rPr>
          <w:b/>
          <w:sz w:val="36"/>
          <w:lang w:eastAsia="ja-JP"/>
        </w:rPr>
        <w:t>Programme :</w:t>
      </w:r>
    </w:p>
    <w:p w14:paraId="67697158" w14:textId="77777777" w:rsidR="00AE2A71" w:rsidRDefault="00AE2A71" w:rsidP="00251FAC">
      <w:pPr>
        <w:pStyle w:val="Listepuces2"/>
        <w:numPr>
          <w:ilvl w:val="0"/>
          <w:numId w:val="0"/>
        </w:numPr>
        <w:rPr>
          <w:lang w:eastAsia="ja-JP"/>
        </w:rPr>
      </w:pPr>
    </w:p>
    <w:p w14:paraId="532E3394" w14:textId="77777777" w:rsidR="00251FAC" w:rsidRDefault="00AE2A71" w:rsidP="00251FAC">
      <w:pPr>
        <w:pStyle w:val="Listepuces2"/>
        <w:numPr>
          <w:ilvl w:val="0"/>
          <w:numId w:val="0"/>
        </w:numPr>
        <w:rPr>
          <w:lang w:eastAsia="ja-JP"/>
        </w:rPr>
      </w:pPr>
      <w:r>
        <w:rPr>
          <w:lang w:eastAsia="ja-JP"/>
        </w:rPr>
        <w:t>L</w:t>
      </w:r>
      <w:r w:rsidR="00251FAC">
        <w:rPr>
          <w:lang w:eastAsia="ja-JP"/>
        </w:rPr>
        <w:t xml:space="preserve">a communauté CEM </w:t>
      </w:r>
      <w:r>
        <w:rPr>
          <w:lang w:eastAsia="ja-JP"/>
        </w:rPr>
        <w:t xml:space="preserve">pourra </w:t>
      </w:r>
      <w:r w:rsidR="00251FAC">
        <w:rPr>
          <w:lang w:eastAsia="ja-JP"/>
        </w:rPr>
        <w:t>soumettre avant le webinaire des questions ou des challenges sur la thématique principale du webinaire. Le conférencier pourra faire une sélection pour ensuite donner une analyse, un état de l’art, …</w:t>
      </w:r>
    </w:p>
    <w:p w14:paraId="2E7DA336" w14:textId="77777777" w:rsidR="00251FAC" w:rsidRDefault="00251FAC" w:rsidP="00251FAC">
      <w:pPr>
        <w:pStyle w:val="Listepuces2"/>
        <w:numPr>
          <w:ilvl w:val="0"/>
          <w:numId w:val="0"/>
        </w:numPr>
        <w:rPr>
          <w:lang w:eastAsia="ja-JP"/>
        </w:rPr>
      </w:pPr>
    </w:p>
    <w:p w14:paraId="24EB1E6B" w14:textId="77777777" w:rsidR="00DC0164" w:rsidRDefault="00DC0164" w:rsidP="0019731B">
      <w:pPr>
        <w:pStyle w:val="Listepuces2"/>
        <w:numPr>
          <w:ilvl w:val="0"/>
          <w:numId w:val="0"/>
        </w:numPr>
        <w:rPr>
          <w:lang w:eastAsia="ja-JP"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1276"/>
        <w:gridCol w:w="1843"/>
        <w:gridCol w:w="6378"/>
      </w:tblGrid>
      <w:tr w:rsidR="00DC0164" w14:paraId="2A898DA5" w14:textId="77777777" w:rsidTr="00251FAC">
        <w:tc>
          <w:tcPr>
            <w:tcW w:w="1276" w:type="dxa"/>
            <w:tcBorders>
              <w:bottom w:val="single" w:sz="4" w:space="0" w:color="auto"/>
            </w:tcBorders>
          </w:tcPr>
          <w:p w14:paraId="6AFAB381" w14:textId="77777777" w:rsidR="00DC0164" w:rsidRPr="00AA4138" w:rsidRDefault="00DC0164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C54464" w14:textId="77777777" w:rsidR="00DC0164" w:rsidRPr="009B79DB" w:rsidRDefault="00DC0164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9B79DB">
              <w:rPr>
                <w:sz w:val="22"/>
                <w:szCs w:val="20"/>
              </w:rPr>
              <w:t>Laboratoire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0DD72CA" w14:textId="77777777" w:rsidR="00DC0164" w:rsidRPr="00AA4138" w:rsidRDefault="00DC0164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Présentation</w:t>
            </w:r>
          </w:p>
        </w:tc>
      </w:tr>
      <w:tr w:rsidR="00EF6F73" w:rsidRPr="00DC0164" w14:paraId="2CC54641" w14:textId="77777777" w:rsidTr="00251FAC">
        <w:trPr>
          <w:trHeight w:val="780"/>
        </w:trPr>
        <w:tc>
          <w:tcPr>
            <w:tcW w:w="1276" w:type="dxa"/>
          </w:tcPr>
          <w:p w14:paraId="7A0BB9BF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07/04</w:t>
            </w:r>
          </w:p>
        </w:tc>
        <w:tc>
          <w:tcPr>
            <w:tcW w:w="1843" w:type="dxa"/>
          </w:tcPr>
          <w:p w14:paraId="2EE1C72E" w14:textId="77777777" w:rsidR="00EF6F73" w:rsidRPr="009B79DB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jc w:val="left"/>
              <w:rPr>
                <w:sz w:val="22"/>
                <w:szCs w:val="20"/>
              </w:rPr>
            </w:pPr>
            <w:r w:rsidRPr="009B79DB">
              <w:rPr>
                <w:sz w:val="22"/>
                <w:szCs w:val="20"/>
              </w:rPr>
              <w:t>LEOST</w:t>
            </w:r>
          </w:p>
        </w:tc>
        <w:tc>
          <w:tcPr>
            <w:tcW w:w="6378" w:type="dxa"/>
          </w:tcPr>
          <w:p w14:paraId="26A2EDAE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Virginie Deniau, “</w:t>
            </w:r>
            <w:r w:rsidRPr="00BB2F4F">
              <w:rPr>
                <w:i/>
                <w:sz w:val="22"/>
                <w:szCs w:val="20"/>
              </w:rPr>
              <w:t>Activité du LEOST</w:t>
            </w:r>
            <w:r w:rsidRPr="00AA4138">
              <w:rPr>
                <w:sz w:val="22"/>
                <w:szCs w:val="20"/>
              </w:rPr>
              <w:t>"</w:t>
            </w:r>
          </w:p>
          <w:p w14:paraId="5384E801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 xml:space="preserve">Artur </w:t>
            </w:r>
            <w:proofErr w:type="spellStart"/>
            <w:r w:rsidRPr="00AA4138">
              <w:rPr>
                <w:sz w:val="22"/>
                <w:szCs w:val="20"/>
              </w:rPr>
              <w:t>Nogueira</w:t>
            </w:r>
            <w:proofErr w:type="spellEnd"/>
            <w:r w:rsidRPr="00AA4138">
              <w:rPr>
                <w:sz w:val="22"/>
                <w:szCs w:val="20"/>
              </w:rPr>
              <w:t>, "</w:t>
            </w:r>
            <w:r w:rsidRPr="001A51B8">
              <w:rPr>
                <w:b/>
                <w:i/>
                <w:sz w:val="22"/>
                <w:szCs w:val="20"/>
              </w:rPr>
              <w:t xml:space="preserve">susceptibilité du protocole de communication </w:t>
            </w:r>
            <w:proofErr w:type="spellStart"/>
            <w:r w:rsidRPr="001A51B8">
              <w:rPr>
                <w:b/>
                <w:i/>
                <w:sz w:val="22"/>
                <w:szCs w:val="20"/>
              </w:rPr>
              <w:t>LoRa</w:t>
            </w:r>
            <w:proofErr w:type="spellEnd"/>
            <w:r w:rsidRPr="00AA4138">
              <w:rPr>
                <w:sz w:val="22"/>
                <w:szCs w:val="20"/>
              </w:rPr>
              <w:t>"</w:t>
            </w:r>
          </w:p>
        </w:tc>
      </w:tr>
      <w:tr w:rsidR="00EF6F73" w14:paraId="1DFB31A8" w14:textId="77777777" w:rsidTr="00251FAC">
        <w:trPr>
          <w:trHeight w:val="321"/>
        </w:trPr>
        <w:tc>
          <w:tcPr>
            <w:tcW w:w="1276" w:type="dxa"/>
            <w:shd w:val="clear" w:color="auto" w:fill="D5DCE4" w:themeFill="text2" w:themeFillTint="33"/>
          </w:tcPr>
          <w:p w14:paraId="272507ED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14/04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52ADE08B" w14:textId="77777777" w:rsidR="00EF6F73" w:rsidRPr="009B79DB" w:rsidRDefault="00BB2F4F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Institut </w:t>
            </w:r>
            <w:r w:rsidR="00EF6F73" w:rsidRPr="009B79DB">
              <w:rPr>
                <w:sz w:val="22"/>
                <w:szCs w:val="20"/>
              </w:rPr>
              <w:t>IETR</w:t>
            </w:r>
          </w:p>
        </w:tc>
        <w:tc>
          <w:tcPr>
            <w:tcW w:w="6378" w:type="dxa"/>
            <w:shd w:val="clear" w:color="auto" w:fill="D5DCE4" w:themeFill="text2" w:themeFillTint="33"/>
          </w:tcPr>
          <w:p w14:paraId="738C1F57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szCs w:val="20"/>
                <w:lang w:eastAsia="ja-JP"/>
              </w:rPr>
            </w:pPr>
            <w:r w:rsidRPr="00AA4138">
              <w:rPr>
                <w:sz w:val="22"/>
                <w:szCs w:val="20"/>
              </w:rPr>
              <w:t xml:space="preserve">Philippe Besnier, </w:t>
            </w:r>
            <w:r w:rsidRPr="00AA4138">
              <w:rPr>
                <w:i/>
                <w:sz w:val="22"/>
                <w:szCs w:val="20"/>
                <w:lang w:eastAsia="ja-JP"/>
              </w:rPr>
              <w:t xml:space="preserve">"Orientations de recherche au sein de l'équipe </w:t>
            </w:r>
            <w:proofErr w:type="spellStart"/>
            <w:r w:rsidRPr="00AA4138">
              <w:rPr>
                <w:i/>
                <w:sz w:val="22"/>
                <w:szCs w:val="20"/>
                <w:lang w:eastAsia="ja-JP"/>
              </w:rPr>
              <w:t>eWAVES</w:t>
            </w:r>
            <w:proofErr w:type="spellEnd"/>
            <w:r w:rsidRPr="00AA4138">
              <w:rPr>
                <w:i/>
                <w:sz w:val="22"/>
                <w:szCs w:val="20"/>
                <w:lang w:eastAsia="ja-JP"/>
              </w:rPr>
              <w:t xml:space="preserve"> mise en place au 01/01/2022"</w:t>
            </w:r>
          </w:p>
          <w:p w14:paraId="619B4D8E" w14:textId="77777777" w:rsidR="00EF6F73" w:rsidRPr="00AA4138" w:rsidRDefault="00EF6F73" w:rsidP="00D7286F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lang w:eastAsia="ja-JP"/>
              </w:rPr>
              <w:t xml:space="preserve">Philippe Besnier, </w:t>
            </w:r>
            <w:r w:rsidR="00D7286F">
              <w:rPr>
                <w:sz w:val="22"/>
                <w:lang w:eastAsia="ja-JP"/>
              </w:rPr>
              <w:t>focus sur le projet</w:t>
            </w:r>
            <w:r w:rsidRPr="00AA4138">
              <w:rPr>
                <w:sz w:val="22"/>
                <w:lang w:eastAsia="ja-JP"/>
              </w:rPr>
              <w:t xml:space="preserve"> </w:t>
            </w:r>
            <w:r w:rsidRPr="00AA4138">
              <w:rPr>
                <w:i/>
                <w:sz w:val="22"/>
                <w:lang w:eastAsia="ja-JP"/>
              </w:rPr>
              <w:t>"</w:t>
            </w:r>
            <w:proofErr w:type="spellStart"/>
            <w:r w:rsidRPr="001A51B8">
              <w:rPr>
                <w:b/>
                <w:i/>
                <w:sz w:val="22"/>
                <w:lang w:eastAsia="ja-JP"/>
              </w:rPr>
              <w:t>cybersécurité</w:t>
            </w:r>
            <w:proofErr w:type="spellEnd"/>
            <w:r w:rsidRPr="001A51B8">
              <w:rPr>
                <w:b/>
                <w:i/>
                <w:sz w:val="22"/>
                <w:lang w:eastAsia="ja-JP"/>
              </w:rPr>
              <w:t xml:space="preserve"> électromagnétique</w:t>
            </w:r>
            <w:r w:rsidRPr="00AA4138">
              <w:rPr>
                <w:i/>
                <w:sz w:val="22"/>
                <w:lang w:eastAsia="ja-JP"/>
              </w:rPr>
              <w:t>"</w:t>
            </w:r>
          </w:p>
        </w:tc>
      </w:tr>
      <w:tr w:rsidR="00EF6F73" w14:paraId="55267CFC" w14:textId="77777777" w:rsidTr="00251FAC">
        <w:trPr>
          <w:trHeight w:val="321"/>
        </w:trPr>
        <w:tc>
          <w:tcPr>
            <w:tcW w:w="1276" w:type="dxa"/>
            <w:shd w:val="clear" w:color="auto" w:fill="FFFFFF" w:themeFill="background1"/>
          </w:tcPr>
          <w:p w14:paraId="48ACB12E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21/04</w:t>
            </w:r>
          </w:p>
        </w:tc>
        <w:tc>
          <w:tcPr>
            <w:tcW w:w="1843" w:type="dxa"/>
            <w:shd w:val="clear" w:color="auto" w:fill="FFFFFF" w:themeFill="background1"/>
          </w:tcPr>
          <w:p w14:paraId="2415FF90" w14:textId="77777777" w:rsidR="00EF6F73" w:rsidRPr="009B79DB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9B79DB">
              <w:rPr>
                <w:sz w:val="22"/>
                <w:szCs w:val="20"/>
              </w:rPr>
              <w:t>LABCEEM / SIAME UPPA</w:t>
            </w:r>
          </w:p>
        </w:tc>
        <w:tc>
          <w:tcPr>
            <w:tcW w:w="6378" w:type="dxa"/>
            <w:shd w:val="clear" w:color="auto" w:fill="FFFFFF" w:themeFill="background1"/>
          </w:tcPr>
          <w:p w14:paraId="7AFA0695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 xml:space="preserve">Jean-Marc </w:t>
            </w:r>
            <w:proofErr w:type="spellStart"/>
            <w:r w:rsidRPr="00AA4138">
              <w:rPr>
                <w:sz w:val="22"/>
                <w:szCs w:val="20"/>
              </w:rPr>
              <w:t>D</w:t>
            </w:r>
            <w:r w:rsidR="00AD3126">
              <w:rPr>
                <w:sz w:val="22"/>
                <w:szCs w:val="20"/>
              </w:rPr>
              <w:t>i</w:t>
            </w:r>
            <w:r w:rsidRPr="00AA4138">
              <w:rPr>
                <w:sz w:val="22"/>
                <w:szCs w:val="20"/>
              </w:rPr>
              <w:t>enot</w:t>
            </w:r>
            <w:proofErr w:type="spellEnd"/>
            <w:r w:rsidRPr="00AA4138">
              <w:rPr>
                <w:sz w:val="22"/>
                <w:szCs w:val="20"/>
              </w:rPr>
              <w:t>, "</w:t>
            </w:r>
            <w:r w:rsidRPr="001A51B8">
              <w:rPr>
                <w:b/>
                <w:i/>
                <w:sz w:val="22"/>
                <w:szCs w:val="20"/>
              </w:rPr>
              <w:t>Nouvelles problématiques EMC/EMI liées à l’intégration embarquée des architectures électroniques de puissance et de commande</w:t>
            </w:r>
            <w:r w:rsidRPr="00AA4138">
              <w:rPr>
                <w:sz w:val="22"/>
                <w:szCs w:val="20"/>
              </w:rPr>
              <w:t>"</w:t>
            </w:r>
          </w:p>
          <w:p w14:paraId="64DB8913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EF6F73" w14:paraId="5F02A35A" w14:textId="77777777" w:rsidTr="00251FAC">
        <w:tc>
          <w:tcPr>
            <w:tcW w:w="1276" w:type="dxa"/>
            <w:shd w:val="clear" w:color="auto" w:fill="D5DCE4" w:themeFill="text2" w:themeFillTint="33"/>
          </w:tcPr>
          <w:p w14:paraId="4095BCA5" w14:textId="77777777" w:rsidR="00EF6F73" w:rsidRPr="00AA4138" w:rsidRDefault="00EF6F73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A4138">
              <w:rPr>
                <w:sz w:val="22"/>
              </w:rPr>
              <w:t>28/04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4B72CB66" w14:textId="77777777" w:rsidR="00EF6F73" w:rsidRPr="009B79DB" w:rsidRDefault="00BB2F4F" w:rsidP="00856B6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Institut </w:t>
            </w:r>
            <w:r w:rsidR="00EF6F73" w:rsidRPr="009B79DB">
              <w:rPr>
                <w:sz w:val="22"/>
              </w:rPr>
              <w:t>PASCAL</w:t>
            </w:r>
          </w:p>
        </w:tc>
        <w:tc>
          <w:tcPr>
            <w:tcW w:w="6378" w:type="dxa"/>
            <w:shd w:val="clear" w:color="auto" w:fill="D5DCE4" w:themeFill="text2" w:themeFillTint="33"/>
          </w:tcPr>
          <w:p w14:paraId="0DF1F082" w14:textId="77777777" w:rsidR="00BB2F4F" w:rsidRPr="00BB2F4F" w:rsidRDefault="00EF6F73" w:rsidP="00BD767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  <w:sz w:val="22"/>
                <w:lang w:eastAsia="ja-JP"/>
              </w:rPr>
            </w:pPr>
            <w:r w:rsidRPr="00AA4138">
              <w:rPr>
                <w:sz w:val="22"/>
                <w:lang w:eastAsia="ja-JP"/>
              </w:rPr>
              <w:t>P</w:t>
            </w:r>
            <w:r w:rsidR="00BD7673">
              <w:rPr>
                <w:sz w:val="22"/>
                <w:lang w:eastAsia="ja-JP"/>
              </w:rPr>
              <w:t>ierre Bonnet, Sébastien</w:t>
            </w:r>
            <w:r w:rsidRPr="00AA4138">
              <w:rPr>
                <w:sz w:val="22"/>
                <w:lang w:eastAsia="ja-JP"/>
              </w:rPr>
              <w:t xml:space="preserve"> Girard, </w:t>
            </w:r>
            <w:r w:rsidR="00BB2F4F" w:rsidRPr="00BB2F4F">
              <w:rPr>
                <w:i/>
                <w:sz w:val="22"/>
                <w:lang w:eastAsia="ja-JP"/>
              </w:rPr>
              <w:t>"Activités de l’équipe CEM"</w:t>
            </w:r>
          </w:p>
          <w:p w14:paraId="15A466A6" w14:textId="77777777" w:rsidR="00EF6F73" w:rsidRPr="00AA4138" w:rsidRDefault="00BB2F4F" w:rsidP="00BD767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/>
                <w:i/>
                <w:sz w:val="22"/>
                <w:lang w:eastAsia="ja-JP"/>
              </w:rPr>
              <w:t>"</w:t>
            </w:r>
            <w:r w:rsidR="00EF6F73" w:rsidRPr="001A51B8">
              <w:rPr>
                <w:b/>
                <w:i/>
                <w:sz w:val="22"/>
                <w:lang w:eastAsia="ja-JP"/>
              </w:rPr>
              <w:t>Contrôle actif des champs électromagnétiques temporels pour des applications en CEM</w:t>
            </w:r>
            <w:r>
              <w:rPr>
                <w:b/>
                <w:sz w:val="22"/>
                <w:lang w:eastAsia="ja-JP"/>
              </w:rPr>
              <w:t>"</w:t>
            </w:r>
          </w:p>
        </w:tc>
      </w:tr>
      <w:tr w:rsidR="006C2388" w14:paraId="28C39CB9" w14:textId="77777777" w:rsidTr="00251FAC">
        <w:tc>
          <w:tcPr>
            <w:tcW w:w="1276" w:type="dxa"/>
            <w:shd w:val="clear" w:color="auto" w:fill="FFFFFF" w:themeFill="background1"/>
          </w:tcPr>
          <w:p w14:paraId="0341A49E" w14:textId="77777777" w:rsidR="006C2388" w:rsidRPr="00AA4138" w:rsidRDefault="006C2388" w:rsidP="006C2388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AA4138">
              <w:rPr>
                <w:sz w:val="22"/>
              </w:rPr>
              <w:t>05/05</w:t>
            </w:r>
          </w:p>
        </w:tc>
        <w:tc>
          <w:tcPr>
            <w:tcW w:w="1843" w:type="dxa"/>
            <w:shd w:val="clear" w:color="auto" w:fill="FFFFFF" w:themeFill="background1"/>
          </w:tcPr>
          <w:p w14:paraId="0854EA9D" w14:textId="77777777" w:rsidR="006C2388" w:rsidRPr="009B79DB" w:rsidRDefault="006C2388" w:rsidP="00CC74FB">
            <w:pPr>
              <w:rPr>
                <w:sz w:val="22"/>
              </w:rPr>
            </w:pPr>
            <w:r w:rsidRPr="009B79DB">
              <w:rPr>
                <w:sz w:val="22"/>
              </w:rPr>
              <w:t>LAAS</w:t>
            </w:r>
          </w:p>
        </w:tc>
        <w:tc>
          <w:tcPr>
            <w:tcW w:w="6378" w:type="dxa"/>
            <w:shd w:val="clear" w:color="auto" w:fill="FFFFFF" w:themeFill="background1"/>
          </w:tcPr>
          <w:p w14:paraId="3CB938C4" w14:textId="77777777" w:rsidR="006C2388" w:rsidRPr="00AA4138" w:rsidRDefault="006C2388" w:rsidP="00BB2F4F">
            <w:pPr>
              <w:rPr>
                <w:sz w:val="22"/>
              </w:rPr>
            </w:pPr>
            <w:r w:rsidRPr="00AA4138">
              <w:rPr>
                <w:sz w:val="22"/>
              </w:rPr>
              <w:t>F</w:t>
            </w:r>
            <w:r w:rsidR="00BD7673">
              <w:rPr>
                <w:sz w:val="22"/>
              </w:rPr>
              <w:t>abrice</w:t>
            </w:r>
            <w:r w:rsidRPr="00AA4138">
              <w:rPr>
                <w:sz w:val="22"/>
              </w:rPr>
              <w:t xml:space="preserve"> </w:t>
            </w:r>
            <w:proofErr w:type="spellStart"/>
            <w:r w:rsidRPr="00AA4138">
              <w:rPr>
                <w:sz w:val="22"/>
              </w:rPr>
              <w:t>Caignet</w:t>
            </w:r>
            <w:proofErr w:type="spellEnd"/>
            <w:r w:rsidRPr="00AA4138">
              <w:rPr>
                <w:sz w:val="22"/>
              </w:rPr>
              <w:t xml:space="preserve">, </w:t>
            </w:r>
            <w:r w:rsidR="00BB2F4F">
              <w:rPr>
                <w:sz w:val="22"/>
              </w:rPr>
              <w:t>"</w:t>
            </w:r>
            <w:r w:rsidRPr="001A51B8">
              <w:rPr>
                <w:b/>
                <w:i/>
                <w:sz w:val="22"/>
              </w:rPr>
              <w:t>Modélisation de l’immunité des composants face aux décharges électrostatiques</w:t>
            </w:r>
            <w:r w:rsidR="00BB2F4F">
              <w:rPr>
                <w:sz w:val="22"/>
              </w:rPr>
              <w:t>"</w:t>
            </w:r>
          </w:p>
        </w:tc>
      </w:tr>
      <w:tr w:rsidR="00DC0164" w14:paraId="64E49995" w14:textId="77777777" w:rsidTr="00251FAC">
        <w:tc>
          <w:tcPr>
            <w:tcW w:w="1276" w:type="dxa"/>
          </w:tcPr>
          <w:p w14:paraId="7360347A" w14:textId="77777777" w:rsidR="00DC0164" w:rsidRPr="00AA4138" w:rsidRDefault="006C2388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12</w:t>
            </w:r>
            <w:r w:rsidR="00EF6F73" w:rsidRPr="00AA4138">
              <w:rPr>
                <w:sz w:val="22"/>
                <w:szCs w:val="20"/>
              </w:rPr>
              <w:t>/05</w:t>
            </w:r>
          </w:p>
        </w:tc>
        <w:tc>
          <w:tcPr>
            <w:tcW w:w="1843" w:type="dxa"/>
          </w:tcPr>
          <w:p w14:paraId="4CCA3344" w14:textId="77777777" w:rsidR="00DC0164" w:rsidRPr="009B79DB" w:rsidRDefault="00BB2F4F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jc w:val="left"/>
              <w:rPr>
                <w:sz w:val="22"/>
                <w:szCs w:val="20"/>
              </w:rPr>
            </w:pPr>
            <w:r>
              <w:rPr>
                <w:sz w:val="22"/>
              </w:rPr>
              <w:t xml:space="preserve">Institut </w:t>
            </w:r>
            <w:r w:rsidR="003E205D" w:rsidRPr="009B79DB">
              <w:rPr>
                <w:sz w:val="22"/>
                <w:szCs w:val="20"/>
              </w:rPr>
              <w:t>XLIM</w:t>
            </w:r>
          </w:p>
        </w:tc>
        <w:tc>
          <w:tcPr>
            <w:tcW w:w="6378" w:type="dxa"/>
          </w:tcPr>
          <w:p w14:paraId="041D96CB" w14:textId="77777777" w:rsidR="00AE2A71" w:rsidRDefault="00AE2A71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>Christophe Guiffaut, "</w:t>
            </w:r>
            <w:r w:rsidRPr="001A51B8">
              <w:rPr>
                <w:i/>
                <w:sz w:val="22"/>
                <w:szCs w:val="20"/>
              </w:rPr>
              <w:t>Activité de l’équipe CEM &amp; Diffraction</w:t>
            </w:r>
            <w:r w:rsidRPr="00AA4138">
              <w:rPr>
                <w:sz w:val="22"/>
                <w:szCs w:val="20"/>
              </w:rPr>
              <w:t>"</w:t>
            </w:r>
          </w:p>
          <w:p w14:paraId="7E2E8A1D" w14:textId="77777777" w:rsidR="00DC0164" w:rsidRPr="00AA4138" w:rsidRDefault="003E205D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AA4138">
              <w:rPr>
                <w:sz w:val="22"/>
                <w:szCs w:val="20"/>
              </w:rPr>
              <w:t xml:space="preserve">Alain </w:t>
            </w:r>
            <w:proofErr w:type="spellStart"/>
            <w:r w:rsidRPr="00AA4138">
              <w:rPr>
                <w:sz w:val="22"/>
                <w:szCs w:val="20"/>
              </w:rPr>
              <w:t>Reineix</w:t>
            </w:r>
            <w:proofErr w:type="spellEnd"/>
            <w:r w:rsidRPr="00AA4138">
              <w:rPr>
                <w:sz w:val="22"/>
                <w:szCs w:val="20"/>
              </w:rPr>
              <w:t>, "</w:t>
            </w:r>
            <w:r w:rsidRPr="001A51B8">
              <w:rPr>
                <w:b/>
                <w:i/>
                <w:sz w:val="22"/>
                <w:szCs w:val="20"/>
              </w:rPr>
              <w:t xml:space="preserve">Machine </w:t>
            </w:r>
            <w:proofErr w:type="spellStart"/>
            <w:r w:rsidRPr="001A51B8">
              <w:rPr>
                <w:b/>
                <w:i/>
                <w:sz w:val="22"/>
                <w:szCs w:val="20"/>
              </w:rPr>
              <w:t>learning</w:t>
            </w:r>
            <w:proofErr w:type="spellEnd"/>
            <w:r w:rsidRPr="001A51B8">
              <w:rPr>
                <w:b/>
                <w:i/>
                <w:sz w:val="22"/>
                <w:szCs w:val="20"/>
              </w:rPr>
              <w:t xml:space="preserve"> pour la détermination de </w:t>
            </w:r>
            <w:proofErr w:type="spellStart"/>
            <w:r w:rsidRPr="001A51B8">
              <w:rPr>
                <w:b/>
                <w:i/>
                <w:sz w:val="22"/>
                <w:szCs w:val="20"/>
              </w:rPr>
              <w:t>métamodèles</w:t>
            </w:r>
            <w:proofErr w:type="spellEnd"/>
            <w:r w:rsidRPr="001A51B8">
              <w:rPr>
                <w:b/>
                <w:i/>
                <w:sz w:val="22"/>
                <w:szCs w:val="20"/>
              </w:rPr>
              <w:t xml:space="preserve"> en CEM</w:t>
            </w:r>
            <w:r w:rsidRPr="00AA4138">
              <w:rPr>
                <w:sz w:val="22"/>
                <w:szCs w:val="20"/>
              </w:rPr>
              <w:t>"</w:t>
            </w:r>
          </w:p>
          <w:p w14:paraId="5A75665B" w14:textId="77777777" w:rsidR="003E205D" w:rsidRPr="00AA4138" w:rsidRDefault="003E205D" w:rsidP="00DD585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30E4D1E1" w14:textId="77777777" w:rsidR="00C10F79" w:rsidRDefault="00C10F79" w:rsidP="0019731B">
      <w:pPr>
        <w:pStyle w:val="Listepuces2"/>
        <w:numPr>
          <w:ilvl w:val="0"/>
          <w:numId w:val="0"/>
        </w:numPr>
        <w:rPr>
          <w:lang w:eastAsia="ja-JP"/>
        </w:rPr>
      </w:pPr>
    </w:p>
    <w:p w14:paraId="55547C07" w14:textId="77777777" w:rsidR="00251FAC" w:rsidRDefault="00251FAC" w:rsidP="0019731B">
      <w:pPr>
        <w:pStyle w:val="Listepuces2"/>
        <w:numPr>
          <w:ilvl w:val="0"/>
          <w:numId w:val="0"/>
        </w:numPr>
        <w:rPr>
          <w:b/>
          <w:lang w:eastAsia="ja-JP"/>
        </w:rPr>
      </w:pPr>
    </w:p>
    <w:p w14:paraId="252709D6" w14:textId="77777777" w:rsidR="00251FAC" w:rsidRDefault="00251FAC" w:rsidP="0019731B">
      <w:pPr>
        <w:pStyle w:val="Listepuces2"/>
        <w:numPr>
          <w:ilvl w:val="0"/>
          <w:numId w:val="0"/>
        </w:numPr>
        <w:rPr>
          <w:b/>
          <w:lang w:eastAsia="ja-JP"/>
        </w:rPr>
      </w:pPr>
    </w:p>
    <w:sectPr w:rsidR="00251FAC" w:rsidSect="00251FAC">
      <w:headerReference w:type="default" r:id="rId8"/>
      <w:footerReference w:type="default" r:id="rId9"/>
      <w:pgSz w:w="11906" w:h="16838" w:code="9"/>
      <w:pgMar w:top="1134" w:right="1134" w:bottom="1134" w:left="113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6371" w14:textId="77777777" w:rsidR="00072E37" w:rsidRDefault="00072E37" w:rsidP="008D1E49">
      <w:r>
        <w:separator/>
      </w:r>
    </w:p>
  </w:endnote>
  <w:endnote w:type="continuationSeparator" w:id="0">
    <w:p w14:paraId="6BADEA6B" w14:textId="77777777" w:rsidR="00072E37" w:rsidRDefault="00072E37" w:rsidP="008D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08A3" w14:textId="77777777" w:rsidR="00251FAC" w:rsidRDefault="008E62CE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825496" wp14:editId="0BF3FF26">
          <wp:simplePos x="0" y="0"/>
          <wp:positionH relativeFrom="column">
            <wp:posOffset>1416420</wp:posOffset>
          </wp:positionH>
          <wp:positionV relativeFrom="paragraph">
            <wp:posOffset>-64770</wp:posOffset>
          </wp:positionV>
          <wp:extent cx="1463748" cy="564816"/>
          <wp:effectExtent l="0" t="0" r="3175" b="6985"/>
          <wp:wrapThrough wrapText="bothSides">
            <wp:wrapPolygon edited="0">
              <wp:start x="9558" y="0"/>
              <wp:lineTo x="0" y="8747"/>
              <wp:lineTo x="0" y="11663"/>
              <wp:lineTo x="9558" y="21138"/>
              <wp:lineTo x="12089" y="21138"/>
              <wp:lineTo x="21366" y="20409"/>
              <wp:lineTo x="21366" y="8747"/>
              <wp:lineTo x="12089" y="0"/>
              <wp:lineTo x="9558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UR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748" cy="56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A9003A3" wp14:editId="71E84BD8">
          <wp:simplePos x="0" y="0"/>
          <wp:positionH relativeFrom="margin">
            <wp:posOffset>-212652</wp:posOffset>
          </wp:positionH>
          <wp:positionV relativeFrom="paragraph">
            <wp:posOffset>-97155</wp:posOffset>
          </wp:positionV>
          <wp:extent cx="1307465" cy="551815"/>
          <wp:effectExtent l="0" t="0" r="6985" b="635"/>
          <wp:wrapThrough wrapText="bothSides">
            <wp:wrapPolygon edited="0">
              <wp:start x="0" y="0"/>
              <wp:lineTo x="0" y="20879"/>
              <wp:lineTo x="21401" y="20879"/>
              <wp:lineTo x="2140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EEE_france_section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578D" w14:textId="77777777" w:rsidR="00072E37" w:rsidRDefault="00072E37" w:rsidP="008D1E49">
      <w:r>
        <w:separator/>
      </w:r>
    </w:p>
  </w:footnote>
  <w:footnote w:type="continuationSeparator" w:id="0">
    <w:p w14:paraId="116DCF69" w14:textId="77777777" w:rsidR="00072E37" w:rsidRDefault="00072E37" w:rsidP="008D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DC11" w14:textId="77777777" w:rsidR="008D1E49" w:rsidRPr="008D1E49" w:rsidRDefault="008D1E49">
    <w:pPr>
      <w:pStyle w:val="En-tte"/>
      <w:rPr>
        <w:sz w:val="22"/>
      </w:rPr>
    </w:pPr>
    <w:r w:rsidRPr="008D1E49">
      <w:rPr>
        <w:b/>
        <w:noProof/>
        <w:sz w:val="16"/>
      </w:rPr>
      <w:drawing>
        <wp:anchor distT="0" distB="0" distL="114300" distR="114300" simplePos="0" relativeHeight="251661312" behindDoc="0" locked="0" layoutInCell="1" allowOverlap="1" wp14:anchorId="405C46E6" wp14:editId="2F18BA86">
          <wp:simplePos x="0" y="0"/>
          <wp:positionH relativeFrom="page">
            <wp:posOffset>6787439</wp:posOffset>
          </wp:positionH>
          <wp:positionV relativeFrom="paragraph">
            <wp:posOffset>-999273</wp:posOffset>
          </wp:positionV>
          <wp:extent cx="693336" cy="69333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nrs_2019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36" cy="69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E49">
      <w:rPr>
        <w:b/>
        <w:noProof/>
        <w:sz w:val="16"/>
      </w:rPr>
      <w:drawing>
        <wp:anchor distT="0" distB="0" distL="114300" distR="114300" simplePos="0" relativeHeight="251660288" behindDoc="0" locked="0" layoutInCell="1" allowOverlap="1" wp14:anchorId="62B87FC5" wp14:editId="5B0A8148">
          <wp:simplePos x="0" y="0"/>
          <wp:positionH relativeFrom="column">
            <wp:posOffset>696016</wp:posOffset>
          </wp:positionH>
          <wp:positionV relativeFrom="paragraph">
            <wp:posOffset>-1083310</wp:posOffset>
          </wp:positionV>
          <wp:extent cx="6567805" cy="863600"/>
          <wp:effectExtent l="0" t="0" r="4445" b="0"/>
          <wp:wrapNone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80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E49">
      <w:rPr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3D0E8365" wp14:editId="70D3842B">
          <wp:simplePos x="0" y="0"/>
          <wp:positionH relativeFrom="page">
            <wp:align>left</wp:align>
          </wp:positionH>
          <wp:positionV relativeFrom="paragraph">
            <wp:posOffset>-1080198</wp:posOffset>
          </wp:positionV>
          <wp:extent cx="1348105" cy="871220"/>
          <wp:effectExtent l="0" t="0" r="4445" b="5080"/>
          <wp:wrapNone/>
          <wp:docPr id="14" name="Picture 209" descr="logogd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" descr="logogdr"/>
                  <pic:cNvPicPr>
                    <a:picLocks noGrp="1"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B4B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F4349F"/>
    <w:multiLevelType w:val="singleLevel"/>
    <w:tmpl w:val="CE94A7A6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0C4A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FC189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B1478E"/>
    <w:multiLevelType w:val="hybridMultilevel"/>
    <w:tmpl w:val="AF32ABAE"/>
    <w:lvl w:ilvl="0" w:tplc="2D42AE9E">
      <w:start w:val="1"/>
      <w:numFmt w:val="bullet"/>
      <w:pStyle w:val="Listepuces2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C50B33"/>
    <w:multiLevelType w:val="singleLevel"/>
    <w:tmpl w:val="CE94A7A6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417C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2325D"/>
    <w:multiLevelType w:val="hybridMultilevel"/>
    <w:tmpl w:val="D0D4F5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50C34"/>
    <w:multiLevelType w:val="hybridMultilevel"/>
    <w:tmpl w:val="CA605F92"/>
    <w:lvl w:ilvl="0" w:tplc="5C3CBD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13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6B20B9"/>
    <w:multiLevelType w:val="singleLevel"/>
    <w:tmpl w:val="43825CA8"/>
    <w:lvl w:ilvl="0">
      <w:numFmt w:val="bullet"/>
      <w:lvlText w:val="—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6D7B4AAF"/>
    <w:multiLevelType w:val="hybridMultilevel"/>
    <w:tmpl w:val="E454FB28"/>
    <w:lvl w:ilvl="0" w:tplc="E556B7D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1493CBB"/>
    <w:multiLevelType w:val="hybridMultilevel"/>
    <w:tmpl w:val="546E8ED0"/>
    <w:lvl w:ilvl="0" w:tplc="84A67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26B20"/>
    <w:multiLevelType w:val="multilevel"/>
    <w:tmpl w:val="EE1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DB"/>
    <w:rsid w:val="00014416"/>
    <w:rsid w:val="00053B2E"/>
    <w:rsid w:val="00064968"/>
    <w:rsid w:val="00072E37"/>
    <w:rsid w:val="00074862"/>
    <w:rsid w:val="00090DCF"/>
    <w:rsid w:val="000925F0"/>
    <w:rsid w:val="000A7920"/>
    <w:rsid w:val="000D6F7E"/>
    <w:rsid w:val="00103684"/>
    <w:rsid w:val="00131185"/>
    <w:rsid w:val="00185B20"/>
    <w:rsid w:val="0019731B"/>
    <w:rsid w:val="001A51B8"/>
    <w:rsid w:val="00221028"/>
    <w:rsid w:val="00251FAC"/>
    <w:rsid w:val="002535AC"/>
    <w:rsid w:val="00263208"/>
    <w:rsid w:val="00275B14"/>
    <w:rsid w:val="00285ACC"/>
    <w:rsid w:val="002D50B1"/>
    <w:rsid w:val="003129F9"/>
    <w:rsid w:val="00323153"/>
    <w:rsid w:val="00347DD0"/>
    <w:rsid w:val="0038602B"/>
    <w:rsid w:val="003A0526"/>
    <w:rsid w:val="003A5051"/>
    <w:rsid w:val="003D5015"/>
    <w:rsid w:val="003E205D"/>
    <w:rsid w:val="003E2B94"/>
    <w:rsid w:val="00455A1F"/>
    <w:rsid w:val="00461E3F"/>
    <w:rsid w:val="00464D6B"/>
    <w:rsid w:val="004655B6"/>
    <w:rsid w:val="004678C9"/>
    <w:rsid w:val="004929DD"/>
    <w:rsid w:val="00494065"/>
    <w:rsid w:val="00495B45"/>
    <w:rsid w:val="004A5569"/>
    <w:rsid w:val="00541300"/>
    <w:rsid w:val="00552550"/>
    <w:rsid w:val="005A1299"/>
    <w:rsid w:val="005E2F16"/>
    <w:rsid w:val="0060034A"/>
    <w:rsid w:val="0060410E"/>
    <w:rsid w:val="00617FCC"/>
    <w:rsid w:val="006361EE"/>
    <w:rsid w:val="0064072A"/>
    <w:rsid w:val="00662E51"/>
    <w:rsid w:val="006820E6"/>
    <w:rsid w:val="006A3E24"/>
    <w:rsid w:val="006A5CD8"/>
    <w:rsid w:val="006C07C3"/>
    <w:rsid w:val="006C2388"/>
    <w:rsid w:val="006D6403"/>
    <w:rsid w:val="006F2050"/>
    <w:rsid w:val="00716FEA"/>
    <w:rsid w:val="00751CB1"/>
    <w:rsid w:val="00776553"/>
    <w:rsid w:val="007D632B"/>
    <w:rsid w:val="007F5DE1"/>
    <w:rsid w:val="007F76DB"/>
    <w:rsid w:val="00824B3C"/>
    <w:rsid w:val="00826912"/>
    <w:rsid w:val="00835179"/>
    <w:rsid w:val="00835DF0"/>
    <w:rsid w:val="00864DEE"/>
    <w:rsid w:val="00876040"/>
    <w:rsid w:val="008D1E49"/>
    <w:rsid w:val="008E62CE"/>
    <w:rsid w:val="00934774"/>
    <w:rsid w:val="0097227C"/>
    <w:rsid w:val="009763D4"/>
    <w:rsid w:val="009A4617"/>
    <w:rsid w:val="009B3F36"/>
    <w:rsid w:val="009B79DB"/>
    <w:rsid w:val="009D65C8"/>
    <w:rsid w:val="009E5ACF"/>
    <w:rsid w:val="00AA4138"/>
    <w:rsid w:val="00AB7839"/>
    <w:rsid w:val="00AD2C0B"/>
    <w:rsid w:val="00AD3126"/>
    <w:rsid w:val="00AE0BAA"/>
    <w:rsid w:val="00AE2A71"/>
    <w:rsid w:val="00B50DCD"/>
    <w:rsid w:val="00B65714"/>
    <w:rsid w:val="00B65BF3"/>
    <w:rsid w:val="00B76D47"/>
    <w:rsid w:val="00B7718F"/>
    <w:rsid w:val="00B97AF8"/>
    <w:rsid w:val="00BB2F4F"/>
    <w:rsid w:val="00BB60E9"/>
    <w:rsid w:val="00BD7673"/>
    <w:rsid w:val="00BE1AE6"/>
    <w:rsid w:val="00C10F79"/>
    <w:rsid w:val="00C415E1"/>
    <w:rsid w:val="00C706BE"/>
    <w:rsid w:val="00CC0B8C"/>
    <w:rsid w:val="00D06514"/>
    <w:rsid w:val="00D630E1"/>
    <w:rsid w:val="00D7286F"/>
    <w:rsid w:val="00DC0164"/>
    <w:rsid w:val="00DC75A8"/>
    <w:rsid w:val="00E17E12"/>
    <w:rsid w:val="00E34184"/>
    <w:rsid w:val="00E3555C"/>
    <w:rsid w:val="00E43C47"/>
    <w:rsid w:val="00E75B98"/>
    <w:rsid w:val="00E97D33"/>
    <w:rsid w:val="00EF6F73"/>
    <w:rsid w:val="00F163AE"/>
    <w:rsid w:val="00F2380C"/>
    <w:rsid w:val="00F4698D"/>
    <w:rsid w:val="00FA5484"/>
    <w:rsid w:val="00FB5303"/>
    <w:rsid w:val="00FC740D"/>
    <w:rsid w:val="00FC7A00"/>
    <w:rsid w:val="00FE081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523883"/>
  <w15:chartTrackingRefBased/>
  <w15:docId w15:val="{1ACF04A8-C802-4397-9A42-85EBD584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EE"/>
    <w:pPr>
      <w:jc w:val="both"/>
    </w:pPr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FF0000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Times New Roman" w:hAnsi="Times New Roman"/>
      <w:b/>
      <w:color w:val="000000"/>
      <w:sz w:val="36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Corpsdetexte2">
    <w:name w:val="Body Text 2"/>
    <w:basedOn w:val="Normal"/>
    <w:rPr>
      <w:rFonts w:ascii="Times New Roman" w:hAnsi="Times New Roman"/>
      <w:b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864D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4DEE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63208"/>
    <w:rPr>
      <w:b/>
      <w:bCs/>
    </w:rPr>
  </w:style>
  <w:style w:type="paragraph" w:styleId="NormalWeb">
    <w:name w:val="Normal (Web)"/>
    <w:basedOn w:val="Normal"/>
    <w:uiPriority w:val="99"/>
    <w:unhideWhenUsed/>
    <w:rsid w:val="00263208"/>
    <w:pPr>
      <w:spacing w:before="100" w:beforeAutospacing="1" w:after="100" w:afterAutospacing="1"/>
    </w:pPr>
    <w:rPr>
      <w:rFonts w:ascii="Times New Roman" w:eastAsia="MS Mincho" w:hAnsi="Times New Roman"/>
      <w:sz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E4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43C47"/>
    <w:rPr>
      <w:rFonts w:ascii="Courier New" w:eastAsia="Times New Roman" w:hAnsi="Courier New" w:cs="Courier New"/>
    </w:rPr>
  </w:style>
  <w:style w:type="paragraph" w:styleId="Paragraphedeliste">
    <w:name w:val="List Paragraph"/>
    <w:basedOn w:val="Normal"/>
    <w:uiPriority w:val="34"/>
    <w:qFormat/>
    <w:rsid w:val="000A7920"/>
    <w:pPr>
      <w:ind w:left="720"/>
      <w:contextualSpacing/>
    </w:pPr>
  </w:style>
  <w:style w:type="paragraph" w:styleId="Listepuces2">
    <w:name w:val="List Bullet 2"/>
    <w:basedOn w:val="Normal"/>
    <w:rsid w:val="00FC7A00"/>
    <w:pPr>
      <w:numPr>
        <w:numId w:val="14"/>
      </w:numPr>
      <w:contextualSpacing/>
    </w:pPr>
  </w:style>
  <w:style w:type="paragraph" w:styleId="En-tte">
    <w:name w:val="header"/>
    <w:basedOn w:val="Normal"/>
    <w:link w:val="En-tteCar"/>
    <w:rsid w:val="008D1E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1E49"/>
    <w:rPr>
      <w:sz w:val="24"/>
    </w:rPr>
  </w:style>
  <w:style w:type="paragraph" w:styleId="Pieddepage">
    <w:name w:val="footer"/>
    <w:basedOn w:val="Normal"/>
    <w:link w:val="PieddepageCar"/>
    <w:rsid w:val="008D1E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1E49"/>
    <w:rPr>
      <w:sz w:val="24"/>
    </w:rPr>
  </w:style>
  <w:style w:type="table" w:styleId="Grilledutableau">
    <w:name w:val="Table Grid"/>
    <w:basedOn w:val="TableauNormal"/>
    <w:uiPriority w:val="59"/>
    <w:rsid w:val="00DC01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istepuces214ptGrasGauche0cmPremireligne">
    <w:name w:val="Style Liste à puces 2 + 14 pt Gras Gauche :  0 cm Première ligne..."/>
    <w:basedOn w:val="Listepuces2"/>
    <w:rsid w:val="00251FAC"/>
    <w:pPr>
      <w:spacing w:before="240" w:after="120"/>
      <w:ind w:left="0" w:firstLine="0"/>
    </w:pPr>
    <w:rPr>
      <w:rFonts w:eastAsia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9155-9219-42ED-9BDB-83A17A9C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GT no</vt:lpstr>
    </vt:vector>
  </TitlesOfParts>
  <Company>DRE (CNRS/LSS-Supélec-UPS)</Company>
  <LinksUpToDate>false</LinksUpToDate>
  <CharactersWithSpaces>1200</CharactersWithSpaces>
  <SharedDoc>false</SharedDoc>
  <HLinks>
    <vt:vector size="24" baseType="variant">
      <vt:variant>
        <vt:i4>393320</vt:i4>
      </vt:variant>
      <vt:variant>
        <vt:i4>9</vt:i4>
      </vt:variant>
      <vt:variant>
        <vt:i4>0</vt:i4>
      </vt:variant>
      <vt:variant>
        <vt:i4>5</vt:i4>
      </vt:variant>
      <vt:variant>
        <vt:lpwstr>mailto:mauro.ettorre@univ-rennes1.fr</vt:lpwstr>
      </vt:variant>
      <vt:variant>
        <vt:lpwstr/>
      </vt:variant>
      <vt:variant>
        <vt:i4>131135</vt:i4>
      </vt:variant>
      <vt:variant>
        <vt:i4>6</vt:i4>
      </vt:variant>
      <vt:variant>
        <vt:i4>0</vt:i4>
      </vt:variant>
      <vt:variant>
        <vt:i4>5</vt:i4>
      </vt:variant>
      <vt:variant>
        <vt:lpwstr>mailto:Philippe.%20Lethuc@unice.fr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aurelian.crunteanu@xlim.fr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http://gdr-ondes.cnrs.fr/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no</dc:title>
  <dc:subject/>
  <dc:creator>B. Duchêne</dc:creator>
  <cp:keywords/>
  <cp:lastModifiedBy>Sabrina DOMARE</cp:lastModifiedBy>
  <cp:revision>2</cp:revision>
  <cp:lastPrinted>2009-08-31T10:22:00Z</cp:lastPrinted>
  <dcterms:created xsi:type="dcterms:W3CDTF">2022-03-22T16:40:00Z</dcterms:created>
  <dcterms:modified xsi:type="dcterms:W3CDTF">2022-03-22T16:40:00Z</dcterms:modified>
</cp:coreProperties>
</file>